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0" w:rsidRPr="00610F63" w:rsidRDefault="00B34260" w:rsidP="00B34260">
      <w:pPr>
        <w:rPr>
          <w:sz w:val="28"/>
          <w:szCs w:val="28"/>
        </w:rPr>
      </w:pPr>
      <w:r w:rsidRPr="00610F63">
        <w:rPr>
          <w:sz w:val="28"/>
          <w:szCs w:val="28"/>
        </w:rPr>
        <w:t>TT tematikus év 2019 – Ipartanszék</w:t>
      </w:r>
    </w:p>
    <w:p w:rsidR="00B34260" w:rsidRDefault="00B34260" w:rsidP="00B34260">
      <w:proofErr w:type="spellStart"/>
      <w:r>
        <w:t>Next</w:t>
      </w:r>
      <w:proofErr w:type="spellEnd"/>
      <w:r>
        <w:t xml:space="preserve"> </w:t>
      </w:r>
      <w:proofErr w:type="spellStart"/>
      <w:r>
        <w:t>Genera</w:t>
      </w:r>
      <w:r w:rsidR="00662525">
        <w:t>tion</w:t>
      </w:r>
      <w:proofErr w:type="spellEnd"/>
      <w:r w:rsidR="00662525">
        <w:t xml:space="preserve"> </w:t>
      </w:r>
      <w:proofErr w:type="spellStart"/>
      <w:r w:rsidR="00662525">
        <w:t>School</w:t>
      </w:r>
      <w:proofErr w:type="spellEnd"/>
      <w:r w:rsidR="00662525">
        <w:t xml:space="preserve"> – </w:t>
      </w:r>
      <w:r>
        <w:t>a tanulás rendszerei, terei és műhelyei</w:t>
      </w:r>
    </w:p>
    <w:p w:rsidR="00FC0721" w:rsidRPr="00610F63" w:rsidRDefault="001A654D" w:rsidP="00F509CB">
      <w:pPr>
        <w:rPr>
          <w:sz w:val="28"/>
          <w:szCs w:val="28"/>
        </w:rPr>
      </w:pPr>
      <w:r w:rsidRPr="00610F63">
        <w:rPr>
          <w:sz w:val="28"/>
          <w:szCs w:val="28"/>
        </w:rPr>
        <w:t>TT3</w:t>
      </w:r>
      <w:r w:rsidR="00F509CB">
        <w:rPr>
          <w:sz w:val="28"/>
          <w:szCs w:val="28"/>
        </w:rPr>
        <w:t xml:space="preserve"> </w:t>
      </w:r>
      <w:r w:rsidR="005434E1">
        <w:rPr>
          <w:sz w:val="28"/>
          <w:szCs w:val="28"/>
        </w:rPr>
        <w:t>–</w:t>
      </w:r>
      <w:r w:rsidR="00F509CB">
        <w:rPr>
          <w:sz w:val="28"/>
          <w:szCs w:val="28"/>
        </w:rPr>
        <w:t xml:space="preserve"> </w:t>
      </w:r>
      <w:r w:rsidR="005434E1">
        <w:rPr>
          <w:sz w:val="28"/>
          <w:szCs w:val="28"/>
        </w:rPr>
        <w:t xml:space="preserve">UP </w:t>
      </w:r>
      <w:r w:rsidR="005434E1" w:rsidRPr="002233D7">
        <w:rPr>
          <w:rFonts w:cstheme="minorHAnsi"/>
          <w:sz w:val="24"/>
          <w:szCs w:val="24"/>
        </w:rPr>
        <w:t>↑↑↑</w:t>
      </w:r>
      <w:r w:rsidR="005434E1">
        <w:rPr>
          <w:sz w:val="28"/>
          <w:szCs w:val="28"/>
        </w:rPr>
        <w:t xml:space="preserve"> (munkára</w:t>
      </w:r>
      <w:r w:rsidR="002233D7">
        <w:rPr>
          <w:sz w:val="28"/>
          <w:szCs w:val="28"/>
        </w:rPr>
        <w:t xml:space="preserve"> </w:t>
      </w:r>
      <w:r w:rsidR="005434E1" w:rsidRPr="005434E1">
        <w:rPr>
          <w:rFonts w:cstheme="minorHAnsi"/>
          <w:sz w:val="28"/>
          <w:szCs w:val="28"/>
        </w:rPr>
        <w:t>fel</w:t>
      </w:r>
      <w:r w:rsidR="00610F63">
        <w:rPr>
          <w:sz w:val="28"/>
          <w:szCs w:val="28"/>
        </w:rPr>
        <w:t>)!</w:t>
      </w:r>
      <w:bookmarkStart w:id="0" w:name="_GoBack"/>
      <w:bookmarkEnd w:id="0"/>
    </w:p>
    <w:p w:rsidR="000862AC" w:rsidRDefault="00B34260" w:rsidP="00B34260">
      <w:pPr>
        <w:jc w:val="both"/>
      </w:pPr>
      <w:r>
        <w:t xml:space="preserve">A TT1 keretében </w:t>
      </w:r>
      <w:r w:rsidR="002233D7">
        <w:t xml:space="preserve">a tematikus év első félévében </w:t>
      </w:r>
      <w:r>
        <w:t>azt kerestük, hogyan tehető egy meglévő iskola jobbá, mit lehet kihozni abból</w:t>
      </w:r>
      <w:r w:rsidR="001A654D">
        <w:t>,</w:t>
      </w:r>
      <w:r>
        <w:t xml:space="preserve"> ami már többé-kevésbé a rendelkezésünkre áll. </w:t>
      </w:r>
      <w:r w:rsidR="00463986">
        <w:t xml:space="preserve">A két </w:t>
      </w:r>
      <w:r w:rsidR="004B5296">
        <w:t xml:space="preserve">budai iskola kapcsán is szembesülni kellett a nem mindig felemelő jelenlegi helyzettel, de nem szabad elfelejteni, hogy a </w:t>
      </w:r>
      <w:r w:rsidR="00463986">
        <w:t xml:space="preserve">például </w:t>
      </w:r>
      <w:r w:rsidR="004B5296">
        <w:t xml:space="preserve">XI. kerület jómódúnak számít a fővárosban. A valóság a szegényebb városrészekben sokkal </w:t>
      </w:r>
      <w:r w:rsidR="00463986">
        <w:t xml:space="preserve">lehangolóbb és </w:t>
      </w:r>
      <w:r w:rsidR="004B5296">
        <w:t xml:space="preserve">mellbevágóbb. </w:t>
      </w:r>
    </w:p>
    <w:p w:rsidR="002F4209" w:rsidRDefault="004B5296" w:rsidP="00B34260">
      <w:pPr>
        <w:jc w:val="both"/>
      </w:pPr>
      <w:r>
        <w:t xml:space="preserve">Az oktatás a hátrányos helyzetű gyerekek és fiatal felnőttek esetében </w:t>
      </w:r>
      <w:r w:rsidR="00463986">
        <w:t>sokszor elválaszthatatlanul</w:t>
      </w:r>
      <w:r w:rsidR="00463986">
        <w:t xml:space="preserve"> </w:t>
      </w:r>
      <w:r w:rsidR="00463986">
        <w:t>összekapcsolódik</w:t>
      </w:r>
      <w:r w:rsidR="00463986">
        <w:t xml:space="preserve"> </w:t>
      </w:r>
      <w:r>
        <w:t xml:space="preserve">szociális és foglalkoztatási </w:t>
      </w:r>
      <w:r w:rsidR="00463986">
        <w:t>kérdésekkel is</w:t>
      </w:r>
      <w:r>
        <w:t>.</w:t>
      </w:r>
      <w:r w:rsidR="000862AC" w:rsidRPr="000862AC">
        <w:t xml:space="preserve"> </w:t>
      </w:r>
      <w:r w:rsidR="000862AC">
        <w:t xml:space="preserve">A második, TT3-as félévben eredetileg is </w:t>
      </w:r>
      <w:r w:rsidR="00E8583F">
        <w:t xml:space="preserve">egy </w:t>
      </w:r>
      <w:r w:rsidR="000862AC">
        <w:t xml:space="preserve">új, gyakorlati ismeretekre </w:t>
      </w:r>
      <w:proofErr w:type="gramStart"/>
      <w:r w:rsidR="000862AC">
        <w:t>koncentráló</w:t>
      </w:r>
      <w:proofErr w:type="gramEnd"/>
      <w:r w:rsidR="000862AC">
        <w:t xml:space="preserve"> oktatási épülettel akartunk foglalkozni</w:t>
      </w:r>
      <w:r w:rsidR="00472890">
        <w:t xml:space="preserve">. Erre a célra </w:t>
      </w:r>
      <w:r w:rsidR="00463986">
        <w:t>átlagos</w:t>
      </w:r>
      <w:r w:rsidR="00472890">
        <w:t xml:space="preserve"> esetben szakiskolák (szakközépiskolák) létesülnek, nehezebb terepen viszont </w:t>
      </w:r>
      <w:r w:rsidR="00E8583F">
        <w:t>ennél több</w:t>
      </w:r>
      <w:r w:rsidR="00463986">
        <w:t xml:space="preserve"> és más</w:t>
      </w:r>
      <w:r w:rsidR="00E8583F">
        <w:t xml:space="preserve"> kell. </w:t>
      </w:r>
      <w:proofErr w:type="gramStart"/>
      <w:r w:rsidR="00E8583F">
        <w:t>K</w:t>
      </w:r>
      <w:r w:rsidR="00472890">
        <w:t>omplexebb</w:t>
      </w:r>
      <w:proofErr w:type="gramEnd"/>
      <w:r w:rsidR="00A265A9">
        <w:t xml:space="preserve"> működésű</w:t>
      </w:r>
      <w:r w:rsidR="00610F63">
        <w:t>, multifunkcionális</w:t>
      </w:r>
      <w:r w:rsidR="00472890">
        <w:t xml:space="preserve"> intézményre van szükség, amely nem csak tanít</w:t>
      </w:r>
      <w:r w:rsidR="00E8583F">
        <w:t xml:space="preserve"> és szakmát ad</w:t>
      </w:r>
      <w:r w:rsidR="00472890">
        <w:t xml:space="preserve">, hanem például segít a munkába állásnál és pályázásnál, később pedig </w:t>
      </w:r>
      <w:r w:rsidR="00E8583F">
        <w:t xml:space="preserve">egyéni szinten is </w:t>
      </w:r>
      <w:r w:rsidR="00472890">
        <w:t>odafigyel a munkahely megtartására</w:t>
      </w:r>
      <w:r w:rsidR="00E8583F">
        <w:t>, az esetleges konfliktushelyzetek kezelésére</w:t>
      </w:r>
      <w:r w:rsidR="00472890">
        <w:t xml:space="preserve"> is.</w:t>
      </w:r>
    </w:p>
    <w:p w:rsidR="00472890" w:rsidRDefault="00472890" w:rsidP="00B34260">
      <w:pPr>
        <w:jc w:val="both"/>
      </w:pPr>
      <w:r>
        <w:t xml:space="preserve">A tervezési feladat ennek megfelelően egy </w:t>
      </w:r>
      <w:r w:rsidR="0032741D">
        <w:t xml:space="preserve">un. </w:t>
      </w:r>
      <w:r>
        <w:t xml:space="preserve">„foglalkoztatási központ” lesz, amely szakmát és általános munkavállalási ismereteket tanít, </w:t>
      </w:r>
      <w:r w:rsidR="00BC45AB">
        <w:t>ezzel együtt támogat,</w:t>
      </w:r>
      <w:r>
        <w:t xml:space="preserve"> mentorál és </w:t>
      </w:r>
      <w:r w:rsidR="00463986">
        <w:t>ha kell</w:t>
      </w:r>
      <w:r w:rsidR="005434E1">
        <w:t>, akkor</w:t>
      </w:r>
      <w:r w:rsidR="00463986">
        <w:t xml:space="preserve"> </w:t>
      </w:r>
      <w:r w:rsidR="0028243A">
        <w:t xml:space="preserve">munkahelyet keres, plusz </w:t>
      </w:r>
      <w:r>
        <w:t xml:space="preserve">időszakonként még állásbörzének is </w:t>
      </w:r>
      <w:r w:rsidR="0028243A">
        <w:t>helyet ad.</w:t>
      </w:r>
      <w:r w:rsidR="00BC45AB" w:rsidRPr="00BC45AB">
        <w:t xml:space="preserve"> </w:t>
      </w:r>
      <w:r w:rsidR="00BC45AB">
        <w:t xml:space="preserve">A </w:t>
      </w:r>
      <w:proofErr w:type="gramStart"/>
      <w:r w:rsidR="00BC45AB">
        <w:t>konkrét</w:t>
      </w:r>
      <w:proofErr w:type="gramEnd"/>
      <w:r w:rsidR="00BC45AB">
        <w:t xml:space="preserve">, várhatóan terézvárosi és józsefvárosi helyszínek keresése még folyamatban van, a félév </w:t>
      </w:r>
      <w:r w:rsidR="0032741D">
        <w:t>az építészeti válaszadást segítő előadásokkal kezdődik (például gödi piarista szakiskola).</w:t>
      </w:r>
    </w:p>
    <w:p w:rsidR="00610F63" w:rsidRDefault="00F509CB" w:rsidP="00F509CB">
      <w:pPr>
        <w:pStyle w:val="SzvegtrzsA"/>
        <w:widowControl w:val="0"/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Javasolt h</w:t>
      </w:r>
      <w:r w:rsidR="00610F63" w:rsidRPr="00610F63">
        <w:rPr>
          <w:rFonts w:asciiTheme="minorHAnsi" w:hAnsiTheme="minorHAnsi" w:cstheme="minorHAnsi"/>
        </w:rPr>
        <w:t>elyiség program</w:t>
      </w:r>
      <w:r w:rsidR="00610F63">
        <w:rPr>
          <w:rFonts w:asciiTheme="minorHAnsi" w:hAnsiTheme="minorHAnsi" w:cstheme="minorHAnsi"/>
        </w:rPr>
        <w:t>:</w:t>
      </w:r>
      <w:r w:rsidR="00610F63" w:rsidRPr="00610F63">
        <w:rPr>
          <w:rFonts w:asciiTheme="minorHAnsi" w:hAnsiTheme="minorHAnsi" w:cstheme="minorHAnsi"/>
        </w:rPr>
        <w:t xml:space="preserve"> </w:t>
      </w:r>
    </w:p>
    <w:p w:rsidR="00F509CB" w:rsidRPr="00610F63" w:rsidRDefault="00F509CB" w:rsidP="00F509CB">
      <w:pPr>
        <w:pStyle w:val="SzvegtrzsA"/>
        <w:widowControl w:val="0"/>
        <w:spacing w:before="120" w:line="288" w:lineRule="auto"/>
        <w:jc w:val="both"/>
        <w:rPr>
          <w:rFonts w:asciiTheme="minorHAnsi" w:eastAsia="Helvetica Neue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4562"/>
        <w:gridCol w:w="567"/>
        <w:gridCol w:w="1418"/>
        <w:gridCol w:w="703"/>
      </w:tblGrid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egységek</w:t>
            </w: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megnevezés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nettó méret</w:t>
            </w: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00D9" w:rsidTr="001800D9">
        <w:tc>
          <w:tcPr>
            <w:tcW w:w="1812" w:type="dxa"/>
          </w:tcPr>
          <w:p w:rsidR="001800D9" w:rsidRPr="00463986" w:rsidRDefault="00CD1E08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foglalkoztató</w:t>
            </w: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multifunkcioná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en-US"/>
              </w:rPr>
              <w:t>lis</w:t>
            </w:r>
            <w:proofErr w:type="spell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en-US"/>
              </w:rPr>
              <w:t xml:space="preserve"> t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ér 100-120 fő szabadon </w:t>
            </w:r>
            <w:proofErr w:type="gram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variálható</w:t>
            </w:r>
            <w:proofErr w:type="gram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 berendezéssel (kiállítások, állásbörze)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200-250</w:t>
            </w: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álláskereső klub, lehet a </w:t>
            </w:r>
            <w:proofErr w:type="spell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multifunkcioná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en-US"/>
              </w:rPr>
              <w:t>lis</w:t>
            </w:r>
            <w:proofErr w:type="spell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en-US"/>
              </w:rPr>
              <w:t xml:space="preserve"> t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érrel össz</w:t>
            </w:r>
            <w:r w:rsidRPr="00463986">
              <w:rPr>
                <w:rFonts w:cstheme="minorHAnsi"/>
                <w:sz w:val="20"/>
                <w:szCs w:val="20"/>
              </w:rPr>
              <w:t>e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vonva</w:t>
            </w:r>
            <w:r w:rsidRPr="00463986">
              <w:rPr>
                <w:rFonts w:cstheme="minorHAnsi"/>
                <w:sz w:val="20"/>
                <w:szCs w:val="20"/>
              </w:rPr>
              <w:t>,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 de </w:t>
            </w:r>
            <w:proofErr w:type="gram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szeparálható</w:t>
            </w:r>
            <w:proofErr w:type="gram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 kell, hogy legyen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60-80</w:t>
            </w: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személyes találkozó helyek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12-18</w:t>
            </w: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1800D9" w:rsidP="00F509CB">
            <w:pPr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kiszolgáló helyisé</w:t>
            </w:r>
            <w:r w:rsidR="00CD1E08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gek (</w:t>
            </w:r>
            <w:r w:rsidR="00F509CB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kb. </w:t>
            </w:r>
            <w:r w:rsidR="00CD1E08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40 ffi, 40 női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, 1 mozgáskorlátozott)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0D9" w:rsidRPr="00463986" w:rsidRDefault="00F509CB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igény szerint</w:t>
            </w: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szüksé</w:t>
            </w:r>
            <w:proofErr w:type="spell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es-ES_tradnl"/>
              </w:rPr>
              <w:t>ges el</w:t>
            </w:r>
            <w:proofErr w:type="spellStart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őt</w:t>
            </w:r>
            <w:r w:rsidR="00755B06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erek</w:t>
            </w:r>
            <w:proofErr w:type="spellEnd"/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, közlekedő</w:t>
            </w:r>
            <w:r w:rsidR="00755B06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k</w:t>
            </w:r>
            <w:r w:rsidRPr="00463986">
              <w:rPr>
                <w:rFonts w:cstheme="minorHAnsi"/>
                <w:sz w:val="20"/>
                <w:szCs w:val="20"/>
              </w:rPr>
              <w:t>,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 xml:space="preserve"> lift, lépcső</w:t>
            </w:r>
            <w:r w:rsidR="00755B06"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k</w:t>
            </w:r>
            <w:r w:rsidRPr="00463986">
              <w:rPr>
                <w:rFonts w:cstheme="minorHAnsi"/>
                <w:sz w:val="20"/>
                <w:szCs w:val="20"/>
              </w:rPr>
              <w:t xml:space="preserve"> és gépészet</w:t>
            </w:r>
          </w:p>
        </w:tc>
        <w:tc>
          <w:tcPr>
            <w:tcW w:w="567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00D9" w:rsidTr="001800D9">
        <w:tc>
          <w:tcPr>
            <w:tcW w:w="1812" w:type="dxa"/>
          </w:tcPr>
          <w:p w:rsidR="001800D9" w:rsidRPr="00463986" w:rsidRDefault="00CD1E08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szakképzés</w:t>
            </w:r>
          </w:p>
        </w:tc>
        <w:tc>
          <w:tcPr>
            <w:tcW w:w="4562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pt-PT"/>
              </w:rPr>
              <w:t>tanterem 15-20 f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ő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  <w:lang w:val="fr-FR"/>
              </w:rPr>
              <w:t>s l</w:t>
            </w: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étszámmal számolva</w:t>
            </w:r>
          </w:p>
        </w:tc>
        <w:tc>
          <w:tcPr>
            <w:tcW w:w="567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50-60</w:t>
            </w:r>
          </w:p>
        </w:tc>
        <w:tc>
          <w:tcPr>
            <w:tcW w:w="703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004771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irodák 2-4 főre</w:t>
            </w:r>
          </w:p>
        </w:tc>
        <w:tc>
          <w:tcPr>
            <w:tcW w:w="567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16-20</w:t>
            </w:r>
          </w:p>
        </w:tc>
        <w:tc>
          <w:tcPr>
            <w:tcW w:w="703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eastAsia="Arial Unicode MS" w:cstheme="minorHAnsi"/>
                <w:color w:val="000000"/>
                <w:sz w:val="20"/>
                <w:szCs w:val="20"/>
                <w:u w:color="000000"/>
              </w:rPr>
              <w:t>szakképzési műhelyek</w:t>
            </w:r>
          </w:p>
        </w:tc>
        <w:tc>
          <w:tcPr>
            <w:tcW w:w="567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50-60</w:t>
            </w:r>
          </w:p>
        </w:tc>
        <w:tc>
          <w:tcPr>
            <w:tcW w:w="703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1800D9" w:rsidTr="001800D9">
        <w:tc>
          <w:tcPr>
            <w:tcW w:w="1812" w:type="dxa"/>
          </w:tcPr>
          <w:p w:rsidR="001800D9" w:rsidRPr="00463986" w:rsidRDefault="001800D9" w:rsidP="00B3426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raktárak</w:t>
            </w:r>
          </w:p>
        </w:tc>
        <w:tc>
          <w:tcPr>
            <w:tcW w:w="567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20-30</w:t>
            </w:r>
          </w:p>
        </w:tc>
        <w:tc>
          <w:tcPr>
            <w:tcW w:w="703" w:type="dxa"/>
          </w:tcPr>
          <w:p w:rsidR="001800D9" w:rsidRPr="00463986" w:rsidRDefault="00755B06" w:rsidP="00B3426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m2</w:t>
            </w:r>
          </w:p>
        </w:tc>
      </w:tr>
      <w:tr w:rsidR="00755B06" w:rsidTr="001800D9">
        <w:tc>
          <w:tcPr>
            <w:tcW w:w="1812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755B06" w:rsidRPr="00463986" w:rsidRDefault="00755B06" w:rsidP="00755B06">
            <w:pPr>
              <w:pStyle w:val="Tblzatstlus2"/>
              <w:rPr>
                <w:rFonts w:asciiTheme="minorHAnsi" w:hAnsiTheme="minorHAnsi" w:cstheme="minorHAnsi"/>
              </w:rPr>
            </w:pPr>
            <w:r w:rsidRPr="00463986">
              <w:rPr>
                <w:rFonts w:asciiTheme="minorHAnsi" w:hAnsiTheme="minorHAnsi" w:cstheme="minorHAnsi"/>
              </w:rPr>
              <w:t>öltöző</w:t>
            </w:r>
            <w:r w:rsidRPr="00463986">
              <w:rPr>
                <w:rFonts w:asciiTheme="minorHAnsi" w:hAnsiTheme="minorHAnsi" w:cstheme="minorHAnsi"/>
                <w:lang w:val="de-DE"/>
              </w:rPr>
              <w:t xml:space="preserve">k + WC + </w:t>
            </w:r>
            <w:proofErr w:type="spellStart"/>
            <w:r w:rsidRPr="00463986">
              <w:rPr>
                <w:rFonts w:asciiTheme="minorHAnsi" w:hAnsiTheme="minorHAnsi" w:cstheme="minorHAnsi"/>
                <w:lang w:val="de-DE"/>
              </w:rPr>
              <w:t>z</w:t>
            </w:r>
            <w:r w:rsidR="00CD1E08" w:rsidRPr="00463986">
              <w:rPr>
                <w:rFonts w:asciiTheme="minorHAnsi" w:hAnsiTheme="minorHAnsi" w:cstheme="minorHAnsi"/>
                <w:lang w:val="de-DE"/>
              </w:rPr>
              <w:t>uhany</w:t>
            </w:r>
            <w:proofErr w:type="spellEnd"/>
            <w:r w:rsidR="00CD1E08" w:rsidRPr="00463986">
              <w:rPr>
                <w:rFonts w:asciiTheme="minorHAnsi" w:hAnsiTheme="minorHAnsi" w:cstheme="minorHAnsi"/>
                <w:lang w:val="de-DE"/>
              </w:rPr>
              <w:t xml:space="preserve"> (</w:t>
            </w:r>
            <w:proofErr w:type="spellStart"/>
            <w:r w:rsidR="00F509CB" w:rsidRPr="00463986">
              <w:rPr>
                <w:rFonts w:asciiTheme="minorHAnsi" w:hAnsiTheme="minorHAnsi" w:cstheme="minorHAnsi"/>
                <w:lang w:val="de-DE"/>
              </w:rPr>
              <w:t>kb</w:t>
            </w:r>
            <w:proofErr w:type="spellEnd"/>
            <w:r w:rsidR="00F509CB" w:rsidRPr="00463986">
              <w:rPr>
                <w:rFonts w:asciiTheme="minorHAnsi" w:hAnsiTheme="minorHAnsi" w:cstheme="minorHAnsi"/>
                <w:lang w:val="de-DE"/>
              </w:rPr>
              <w:t xml:space="preserve">. </w:t>
            </w:r>
            <w:r w:rsidR="00CD1E08" w:rsidRPr="00463986">
              <w:rPr>
                <w:rFonts w:asciiTheme="minorHAnsi" w:hAnsiTheme="minorHAnsi" w:cstheme="minorHAnsi"/>
                <w:lang w:val="de-DE"/>
              </w:rPr>
              <w:t xml:space="preserve">15 </w:t>
            </w:r>
            <w:proofErr w:type="spellStart"/>
            <w:r w:rsidR="00CD1E08" w:rsidRPr="00463986">
              <w:rPr>
                <w:rFonts w:asciiTheme="minorHAnsi" w:hAnsiTheme="minorHAnsi" w:cstheme="minorHAnsi"/>
                <w:lang w:val="de-DE"/>
              </w:rPr>
              <w:t>ffi</w:t>
            </w:r>
            <w:proofErr w:type="spellEnd"/>
            <w:r w:rsidR="00CD1E08" w:rsidRPr="00463986">
              <w:rPr>
                <w:rFonts w:asciiTheme="minorHAnsi" w:hAnsiTheme="minorHAnsi" w:cstheme="minorHAnsi"/>
                <w:lang w:val="de-DE"/>
              </w:rPr>
              <w:t xml:space="preserve">, 15 </w:t>
            </w:r>
            <w:proofErr w:type="spellStart"/>
            <w:r w:rsidR="00CD1E08" w:rsidRPr="00463986">
              <w:rPr>
                <w:rFonts w:asciiTheme="minorHAnsi" w:hAnsiTheme="minorHAnsi" w:cstheme="minorHAnsi"/>
                <w:lang w:val="de-DE"/>
              </w:rPr>
              <w:t>női</w:t>
            </w:r>
            <w:proofErr w:type="spellEnd"/>
            <w:r w:rsidRPr="00463986">
              <w:rPr>
                <w:rFonts w:asciiTheme="minorHAnsi" w:hAnsiTheme="minorHAnsi" w:cstheme="minorHAnsi"/>
              </w:rPr>
              <w:t>, 1 mozgáskorlátozott)</w:t>
            </w:r>
          </w:p>
        </w:tc>
        <w:tc>
          <w:tcPr>
            <w:tcW w:w="567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B06" w:rsidRPr="00463986" w:rsidRDefault="00F509CB" w:rsidP="00755B06">
            <w:pPr>
              <w:jc w:val="both"/>
              <w:rPr>
                <w:rFonts w:cstheme="minorHAnsi"/>
                <w:sz w:val="20"/>
                <w:szCs w:val="20"/>
              </w:rPr>
            </w:pPr>
            <w:r w:rsidRPr="00463986">
              <w:rPr>
                <w:rFonts w:cstheme="minorHAnsi"/>
                <w:sz w:val="20"/>
                <w:szCs w:val="20"/>
              </w:rPr>
              <w:t>igény szerint</w:t>
            </w:r>
          </w:p>
        </w:tc>
        <w:tc>
          <w:tcPr>
            <w:tcW w:w="703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5B06" w:rsidTr="001800D9">
        <w:tc>
          <w:tcPr>
            <w:tcW w:w="1812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2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" w:type="dxa"/>
          </w:tcPr>
          <w:p w:rsidR="00755B06" w:rsidRPr="00463986" w:rsidRDefault="00755B06" w:rsidP="00755B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72890" w:rsidRDefault="00472890" w:rsidP="00B34260">
      <w:pPr>
        <w:jc w:val="both"/>
        <w:rPr>
          <w:rFonts w:cstheme="minorHAnsi"/>
        </w:rPr>
      </w:pPr>
    </w:p>
    <w:p w:rsidR="00F509CB" w:rsidRPr="00610F63" w:rsidRDefault="00F509CB" w:rsidP="00B34260">
      <w:pPr>
        <w:jc w:val="both"/>
        <w:rPr>
          <w:rFonts w:cstheme="minorHAnsi"/>
        </w:rPr>
      </w:pPr>
      <w:r>
        <w:rPr>
          <w:rFonts w:cstheme="minorHAnsi"/>
        </w:rPr>
        <w:t xml:space="preserve">A tervezési program a telkek eltérő adottságainak megfelelően változtatható. A </w:t>
      </w:r>
      <w:proofErr w:type="gramStart"/>
      <w:r>
        <w:rPr>
          <w:rFonts w:cstheme="minorHAnsi"/>
        </w:rPr>
        <w:t>funkció</w:t>
      </w:r>
      <w:proofErr w:type="gramEnd"/>
      <w:r>
        <w:rPr>
          <w:rFonts w:cstheme="minorHAnsi"/>
        </w:rPr>
        <w:t xml:space="preserve"> jellegéből adódóan parkolóhelyeket nem kell biztosítani, de gazdasági bejáratra a műhelyek miatt szükség van. A</w:t>
      </w:r>
      <w:r w:rsidR="00662525">
        <w:rPr>
          <w:rFonts w:cstheme="minorHAnsi"/>
        </w:rPr>
        <w:t xml:space="preserve"> teljes akadálymentességet, valamint a</w:t>
      </w:r>
      <w:r>
        <w:rPr>
          <w:rFonts w:cstheme="minorHAnsi"/>
        </w:rPr>
        <w:t xml:space="preserve"> kerékpárok és egyéb </w:t>
      </w:r>
      <w:r w:rsidR="00662525">
        <w:rPr>
          <w:rFonts w:cstheme="minorHAnsi"/>
        </w:rPr>
        <w:t xml:space="preserve">alternatív </w:t>
      </w:r>
      <w:r>
        <w:rPr>
          <w:rFonts w:cstheme="minorHAnsi"/>
        </w:rPr>
        <w:t>közlekedési eszközök (elektromos roller és társai) biztonságos, zárható tárolását meg kell oldani.</w:t>
      </w:r>
    </w:p>
    <w:sectPr w:rsidR="00F509CB" w:rsidRPr="0061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0"/>
    <w:rsid w:val="00004771"/>
    <w:rsid w:val="000862AC"/>
    <w:rsid w:val="001800D9"/>
    <w:rsid w:val="001A654D"/>
    <w:rsid w:val="002233D7"/>
    <w:rsid w:val="0028243A"/>
    <w:rsid w:val="002F4209"/>
    <w:rsid w:val="0032741D"/>
    <w:rsid w:val="00463986"/>
    <w:rsid w:val="00472890"/>
    <w:rsid w:val="004B5296"/>
    <w:rsid w:val="005434E1"/>
    <w:rsid w:val="00610F63"/>
    <w:rsid w:val="00656AA0"/>
    <w:rsid w:val="00662525"/>
    <w:rsid w:val="00755B06"/>
    <w:rsid w:val="00A265A9"/>
    <w:rsid w:val="00B34260"/>
    <w:rsid w:val="00BB356F"/>
    <w:rsid w:val="00BC45AB"/>
    <w:rsid w:val="00CD1E08"/>
    <w:rsid w:val="00E8583F"/>
    <w:rsid w:val="00F509CB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F4F"/>
  <w15:chartTrackingRefBased/>
  <w15:docId w15:val="{79CD8A0F-D38E-4694-82D4-810A2B3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2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610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trzsA">
    <w:name w:val="Szövegtörzs A"/>
    <w:rsid w:val="00610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hu-HU"/>
    </w:rPr>
  </w:style>
  <w:style w:type="paragraph" w:customStyle="1" w:styleId="Tblzatstlus2">
    <w:name w:val="Táblázatstílus 2"/>
    <w:rsid w:val="00610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table" w:styleId="Rcsostblzat">
    <w:name w:val="Table Grid"/>
    <w:basedOn w:val="Normltblzat"/>
    <w:uiPriority w:val="39"/>
    <w:rsid w:val="0018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C825-4CA4-4F06-B705-5FB2C72B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15</cp:revision>
  <cp:lastPrinted>2019-04-24T09:12:00Z</cp:lastPrinted>
  <dcterms:created xsi:type="dcterms:W3CDTF">2019-04-23T13:57:00Z</dcterms:created>
  <dcterms:modified xsi:type="dcterms:W3CDTF">2019-04-30T14:16:00Z</dcterms:modified>
</cp:coreProperties>
</file>